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E67177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03</w:t>
      </w:r>
      <w:r w:rsidR="008C630D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2</w:t>
      </w:r>
      <w:r w:rsidR="00DD6F9D">
        <w:rPr>
          <w:sz w:val="28"/>
          <w:szCs w:val="28"/>
          <w:lang w:eastAsia="ar-SA"/>
        </w:rPr>
        <w:t>.2019</w:t>
      </w:r>
      <w:r w:rsidR="008B77DD" w:rsidRPr="00E76A6E">
        <w:rPr>
          <w:sz w:val="28"/>
          <w:szCs w:val="28"/>
          <w:lang w:eastAsia="ar-SA"/>
        </w:rPr>
        <w:t xml:space="preserve">                                         </w:t>
      </w:r>
      <w:r w:rsidR="006C625F">
        <w:rPr>
          <w:sz w:val="28"/>
          <w:szCs w:val="28"/>
          <w:lang w:eastAsia="ar-SA"/>
        </w:rPr>
        <w:t xml:space="preserve">  </w:t>
      </w:r>
      <w:r w:rsidR="008B77DD" w:rsidRPr="00E76A6E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215</w:t>
      </w:r>
      <w:r w:rsidR="005759E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комфортной городской среды в муниципальном образовании  «Казанское сельское поселение </w:t>
            </w:r>
            <w:proofErr w:type="spellStart"/>
            <w:r>
              <w:rPr>
                <w:rStyle w:val="2"/>
                <w:color w:val="000000"/>
              </w:rPr>
              <w:t>Верхнедонского</w:t>
            </w:r>
            <w:proofErr w:type="spellEnd"/>
            <w:r>
              <w:rPr>
                <w:rStyle w:val="2"/>
                <w:color w:val="000000"/>
              </w:rPr>
              <w:t xml:space="preserve">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8B77DD" w:rsidRPr="00DD6F9D">
        <w:rPr>
          <w:rStyle w:val="2"/>
          <w:color w:val="000000"/>
        </w:rPr>
        <w:t xml:space="preserve">«Формирование комфортной городской среды в муниципальном образовании  «Казанское сельское поселение </w:t>
      </w:r>
      <w:proofErr w:type="spellStart"/>
      <w:r w:rsidR="008B77DD" w:rsidRPr="00DD6F9D">
        <w:rPr>
          <w:rStyle w:val="2"/>
          <w:color w:val="000000"/>
        </w:rPr>
        <w:t>Верхнедонского</w:t>
      </w:r>
      <w:proofErr w:type="spellEnd"/>
      <w:r w:rsidR="008B77DD" w:rsidRPr="00DD6F9D">
        <w:rPr>
          <w:rStyle w:val="2"/>
          <w:color w:val="000000"/>
        </w:rPr>
        <w:t xml:space="preserve"> района Ростовской области»  на 2019-2030 годы» </w:t>
      </w:r>
      <w:r w:rsidR="008B77DD" w:rsidRPr="00DD6F9D">
        <w:rPr>
          <w:sz w:val="28"/>
          <w:szCs w:val="28"/>
        </w:rPr>
        <w:t xml:space="preserve"> 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DD6F9D" w:rsidRPr="00DC09D1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подписания. </w:t>
      </w:r>
    </w:p>
    <w:p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DC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9D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B77DD" w:rsidRDefault="008B77D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:rsidR="008B77DD" w:rsidRDefault="008B77DD"/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D96709" w:rsidRPr="00731047" w:rsidRDefault="005759EF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96709"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67177">
        <w:rPr>
          <w:sz w:val="28"/>
          <w:szCs w:val="28"/>
        </w:rPr>
        <w:t>03</w:t>
      </w:r>
      <w:r w:rsidR="008C630D">
        <w:rPr>
          <w:sz w:val="28"/>
          <w:szCs w:val="28"/>
        </w:rPr>
        <w:t>.1</w:t>
      </w:r>
      <w:r w:rsidR="00E67177">
        <w:rPr>
          <w:sz w:val="28"/>
          <w:szCs w:val="28"/>
        </w:rPr>
        <w:t>2</w:t>
      </w:r>
      <w:r w:rsidR="00DD6F9D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D96709" w:rsidRPr="00731047">
        <w:rPr>
          <w:sz w:val="28"/>
          <w:szCs w:val="28"/>
        </w:rPr>
        <w:t>№</w:t>
      </w:r>
      <w:r w:rsidR="00E67177">
        <w:rPr>
          <w:sz w:val="28"/>
          <w:szCs w:val="28"/>
        </w:rPr>
        <w:t>215</w:t>
      </w:r>
      <w:r w:rsidR="00D96709" w:rsidRPr="00731047">
        <w:rPr>
          <w:sz w:val="28"/>
          <w:szCs w:val="28"/>
        </w:rPr>
        <w:t xml:space="preserve">     </w:t>
      </w: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"/>
          <w:color w:val="000000"/>
          <w:sz w:val="28"/>
          <w:szCs w:val="28"/>
        </w:rPr>
        <w:t>П</w:t>
      </w:r>
      <w:proofErr w:type="gramEnd"/>
      <w:r w:rsidRPr="00D96709">
        <w:rPr>
          <w:rStyle w:val="3"/>
          <w:color w:val="000000"/>
          <w:sz w:val="28"/>
          <w:szCs w:val="28"/>
        </w:rPr>
        <w:t xml:space="preserve"> А С П О Р Т</w:t>
      </w:r>
    </w:p>
    <w:p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>муниципальной программы «Формирование комфортной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«Формирование комфортной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4F72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72A2" w:rsidRPr="00E76A6E" w:rsidTr="004F72A2">
        <w:trPr>
          <w:trHeight w:val="3430"/>
        </w:trPr>
        <w:tc>
          <w:tcPr>
            <w:tcW w:w="3085" w:type="dxa"/>
          </w:tcPr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:rsidTr="00986EFC">
        <w:trPr>
          <w:trHeight w:val="87"/>
        </w:trPr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E67177">
              <w:rPr>
                <w:kern w:val="2"/>
                <w:sz w:val="28"/>
                <w:szCs w:val="28"/>
              </w:rPr>
              <w:t>1521,</w:t>
            </w:r>
            <w:r w:rsidR="00C548E9">
              <w:rPr>
                <w:kern w:val="2"/>
                <w:sz w:val="28"/>
                <w:szCs w:val="28"/>
              </w:rPr>
              <w:t>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E25802"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:rsidTr="00986EFC">
        <w:trPr>
          <w:trHeight w:val="1016"/>
        </w:trPr>
        <w:tc>
          <w:tcPr>
            <w:tcW w:w="3085" w:type="dxa"/>
          </w:tcPr>
          <w:p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C548E9" w:rsidRPr="00D96709" w:rsidRDefault="00C548E9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"/>
          <w:color w:val="000000"/>
          <w:sz w:val="28"/>
          <w:szCs w:val="28"/>
        </w:rPr>
        <w:t>П</w:t>
      </w:r>
      <w:proofErr w:type="gramEnd"/>
      <w:r w:rsidRPr="00D96709">
        <w:rPr>
          <w:rStyle w:val="3"/>
          <w:color w:val="000000"/>
          <w:sz w:val="28"/>
          <w:szCs w:val="28"/>
        </w:rPr>
        <w:t xml:space="preserve"> А С П О Р Т</w:t>
      </w:r>
    </w:p>
    <w:p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>программы «Формирование комфортной городской</w:t>
      </w:r>
      <w:r w:rsidR="006C625F">
        <w:rPr>
          <w:rStyle w:val="4"/>
          <w:color w:val="000000"/>
          <w:sz w:val="28"/>
          <w:szCs w:val="28"/>
        </w:rPr>
        <w:t xml:space="preserve"> среды</w:t>
      </w:r>
      <w:r w:rsidRPr="00D96709">
        <w:rPr>
          <w:rStyle w:val="4"/>
          <w:color w:val="000000"/>
          <w:sz w:val="28"/>
          <w:szCs w:val="28"/>
        </w:rPr>
        <w:t>».</w:t>
      </w:r>
    </w:p>
    <w:p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>рограммы</w:t>
            </w:r>
            <w:proofErr w:type="spellEnd"/>
            <w:r w:rsidRPr="00E76A6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88" w:type="dxa"/>
          </w:tcPr>
          <w:p w:rsidR="00C548E9" w:rsidRPr="00E76A6E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«Формиров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ание комфортной городской среды»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lastRenderedPageBreak/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C548E9" w:rsidRPr="00E76A6E" w:rsidTr="006C625F">
        <w:trPr>
          <w:trHeight w:val="3430"/>
        </w:trPr>
        <w:tc>
          <w:tcPr>
            <w:tcW w:w="3085" w:type="dxa"/>
          </w:tcPr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:rsidTr="006C625F">
        <w:trPr>
          <w:trHeight w:val="87"/>
        </w:trPr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E67177">
              <w:rPr>
                <w:kern w:val="2"/>
                <w:sz w:val="28"/>
                <w:szCs w:val="28"/>
              </w:rPr>
              <w:t>1521,</w:t>
            </w:r>
            <w:r>
              <w:rPr>
                <w:kern w:val="2"/>
                <w:sz w:val="28"/>
                <w:szCs w:val="28"/>
              </w:rPr>
              <w:t>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2023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:rsidTr="006C625F">
        <w:trPr>
          <w:trHeight w:val="1016"/>
        </w:trPr>
        <w:tc>
          <w:tcPr>
            <w:tcW w:w="3085" w:type="dxa"/>
          </w:tcPr>
          <w:p w:rsidR="00C548E9" w:rsidRPr="00075614" w:rsidRDefault="00C548E9" w:rsidP="006C625F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C548E9" w:rsidRPr="00075614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Default="004F72A2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Pr="00E76A6E" w:rsidRDefault="004D2BFD" w:rsidP="004F72A2">
      <w:pPr>
        <w:rPr>
          <w:sz w:val="26"/>
          <w:szCs w:val="26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675590" w:rsidRPr="00675590" w:rsidRDefault="00675590" w:rsidP="00675590">
      <w:pPr>
        <w:rPr>
          <w:sz w:val="28"/>
          <w:szCs w:val="28"/>
        </w:rPr>
        <w:sectPr w:rsidR="00675590" w:rsidRPr="00675590" w:rsidSect="00DD6F9D">
          <w:pgSz w:w="11900" w:h="16840"/>
          <w:pgMar w:top="360" w:right="701" w:bottom="360" w:left="851" w:header="0" w:footer="3" w:gutter="0"/>
          <w:cols w:space="720"/>
          <w:noEndnote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</w:t>
      </w:r>
      <w:proofErr w:type="gramStart"/>
      <w:r w:rsidRPr="00785346">
        <w:rPr>
          <w:rStyle w:val="21"/>
          <w:color w:val="000000"/>
          <w:sz w:val="28"/>
          <w:szCs w:val="28"/>
        </w:rPr>
        <w:t xml:space="preserve"> ,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</w:t>
      </w:r>
      <w:proofErr w:type="spellStart"/>
      <w:r w:rsidRPr="00785346">
        <w:rPr>
          <w:rStyle w:val="21"/>
          <w:color w:val="000000"/>
          <w:sz w:val="28"/>
          <w:szCs w:val="28"/>
        </w:rPr>
        <w:t>жилищно</w:t>
      </w:r>
      <w:r w:rsidRPr="00785346">
        <w:rPr>
          <w:rStyle w:val="21"/>
          <w:color w:val="000000"/>
          <w:sz w:val="28"/>
          <w:szCs w:val="28"/>
        </w:rPr>
        <w:softHyphen/>
        <w:t>коммунальной</w:t>
      </w:r>
      <w:proofErr w:type="spellEnd"/>
      <w:r w:rsidRPr="00785346">
        <w:rPr>
          <w:rStyle w:val="21"/>
          <w:color w:val="000000"/>
          <w:sz w:val="28"/>
          <w:szCs w:val="28"/>
        </w:rPr>
        <w:t xml:space="preserve"> сфере.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программ формирования современной городской среды.</w:t>
      </w:r>
    </w:p>
    <w:p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комфортной городской среды».</w:t>
      </w:r>
      <w:proofErr w:type="gramEnd"/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 на период до 2017-</w:t>
      </w:r>
      <w:r w:rsidRPr="00785346">
        <w:rPr>
          <w:rStyle w:val="21"/>
          <w:color w:val="000000"/>
          <w:sz w:val="28"/>
          <w:szCs w:val="28"/>
        </w:rPr>
        <w:softHyphen/>
        <w:t xml:space="preserve">2022 годов, </w:t>
      </w:r>
      <w:proofErr w:type="gramStart"/>
      <w:r w:rsidRPr="00785346">
        <w:rPr>
          <w:rStyle w:val="21"/>
          <w:color w:val="000000"/>
          <w:sz w:val="28"/>
          <w:szCs w:val="28"/>
        </w:rPr>
        <w:t>согласно Программы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Основными задачами по созданию комфортной  городской среды являются: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привлечение субсидий дорожного фонда  для организации работ по ремонту проездов, тротуаров дворовых территорий;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</w:t>
      </w:r>
      <w:proofErr w:type="gramStart"/>
      <w:r w:rsidRPr="00785346">
        <w:rPr>
          <w:rStyle w:val="21"/>
          <w:color w:val="000000"/>
          <w:sz w:val="28"/>
          <w:szCs w:val="28"/>
        </w:rPr>
        <w:t>«К</w:t>
      </w:r>
      <w:proofErr w:type="gramEnd"/>
      <w:r w:rsidRPr="00785346">
        <w:rPr>
          <w:rStyle w:val="21"/>
          <w:color w:val="000000"/>
          <w:sz w:val="28"/>
          <w:szCs w:val="28"/>
        </w:rPr>
        <w:t>азанское сельское поселение»;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>
      <w:pPr>
        <w:spacing w:after="200" w:line="276" w:lineRule="auto"/>
      </w:pPr>
      <w:r>
        <w:br w:type="page"/>
      </w:r>
    </w:p>
    <w:p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D96709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:rsidR="00785346" w:rsidRDefault="00785346" w:rsidP="00785346">
      <w:pPr>
        <w:jc w:val="right"/>
      </w:pPr>
    </w:p>
    <w:p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D96709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E40E7D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комфортной городской среды в муниципальном образовании «Казанское сельское поселение </w:t>
            </w:r>
            <w:proofErr w:type="spellStart"/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>Верхнедонского</w:t>
            </w:r>
            <w:proofErr w:type="spellEnd"/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6C625F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6C625F" w:rsidRPr="00075614" w:rsidRDefault="006C625F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6C625F" w:rsidRPr="00075614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6C625F" w:rsidRPr="00075614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 xml:space="preserve">Приложение №3 к муниципальной программе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 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50" w:type="dxa"/>
          </w:tcPr>
          <w:p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986EFC" w:rsidRPr="00144066" w:rsidRDefault="00E25802" w:rsidP="00E25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E25802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17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E67177" w:rsidRDefault="00E67177">
            <w:r w:rsidRPr="008718E8">
              <w:rPr>
                <w:sz w:val="16"/>
                <w:szCs w:val="16"/>
              </w:rPr>
              <w:t>1521,0</w:t>
            </w:r>
          </w:p>
        </w:tc>
        <w:tc>
          <w:tcPr>
            <w:tcW w:w="550" w:type="dxa"/>
          </w:tcPr>
          <w:p w:rsidR="00E67177" w:rsidRDefault="00E67177">
            <w:r w:rsidRPr="008718E8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17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E67177" w:rsidRPr="00075614" w:rsidRDefault="00E67177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67177" w:rsidRPr="0002473C" w:rsidRDefault="00E67177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E67177" w:rsidRPr="00986EFC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E67177" w:rsidRDefault="00E67177">
            <w:r w:rsidRPr="00CB1478">
              <w:rPr>
                <w:sz w:val="16"/>
                <w:szCs w:val="16"/>
              </w:rPr>
              <w:t>1521,0</w:t>
            </w:r>
          </w:p>
        </w:tc>
        <w:tc>
          <w:tcPr>
            <w:tcW w:w="550" w:type="dxa"/>
          </w:tcPr>
          <w:p w:rsidR="00E67177" w:rsidRDefault="00E67177">
            <w:r w:rsidRPr="00CB1478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177" w:rsidRPr="00BB792B" w:rsidTr="000D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3261" w:type="dxa"/>
          </w:tcPr>
          <w:p w:rsidR="00E67177" w:rsidRDefault="00E67177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E67177" w:rsidRPr="00075614" w:rsidRDefault="00E67177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и проектно-сметной документации в целях благоустройства общественного 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</w:t>
            </w:r>
            <w:proofErr w:type="spellStart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района Ростовской области» на 2019-2030 годы»</w:t>
            </w:r>
          </w:p>
        </w:tc>
        <w:tc>
          <w:tcPr>
            <w:tcW w:w="1733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E67177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E67177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E67177" w:rsidRPr="00986EFC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E67177" w:rsidRDefault="00E67177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50" w:type="dxa"/>
          </w:tcPr>
          <w:p w:rsidR="00E67177" w:rsidRDefault="00E67177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CC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0"/>
          <w:tblCellSpacing w:w="5" w:type="nil"/>
        </w:trPr>
        <w:tc>
          <w:tcPr>
            <w:tcW w:w="3261" w:type="dxa"/>
          </w:tcPr>
          <w:p w:rsidR="000D3CC7" w:rsidRPr="00075614" w:rsidRDefault="000D3CC7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0D3CC7" w:rsidRPr="0002473C" w:rsidRDefault="000D3CC7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5551</w:t>
            </w:r>
          </w:p>
        </w:tc>
        <w:tc>
          <w:tcPr>
            <w:tcW w:w="75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D3CC7" w:rsidRPr="00144066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0D3CC7" w:rsidRPr="00144066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0D3CC7" w:rsidRPr="00144066" w:rsidRDefault="000D3CC7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3CC7" w:rsidRPr="00144066" w:rsidRDefault="000D3CC7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3CC7" w:rsidRPr="00144066" w:rsidRDefault="000D3CC7" w:rsidP="0001237B">
            <w:pPr>
              <w:rPr>
                <w:sz w:val="16"/>
                <w:szCs w:val="16"/>
              </w:rPr>
            </w:pPr>
          </w:p>
        </w:tc>
      </w:tr>
      <w:tr w:rsidR="000D3CC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D3CC7" w:rsidRPr="00075614" w:rsidRDefault="000D3CC7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3</w:t>
            </w:r>
          </w:p>
          <w:p w:rsidR="000D3CC7" w:rsidRPr="001109E2" w:rsidRDefault="000D3CC7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281D91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5552</w:t>
            </w:r>
          </w:p>
        </w:tc>
        <w:tc>
          <w:tcPr>
            <w:tcW w:w="757" w:type="dxa"/>
          </w:tcPr>
          <w:p w:rsidR="000D3CC7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D3CC7" w:rsidRPr="00144066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0D3CC7" w:rsidRPr="00144066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CC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D3CC7" w:rsidRPr="00BB792B" w:rsidRDefault="000D3CC7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4</w:t>
            </w:r>
            <w:r w:rsidRPr="001109E2">
              <w:rPr>
                <w:rStyle w:val="22"/>
                <w:color w:val="000000"/>
                <w:sz w:val="22"/>
                <w:szCs w:val="22"/>
              </w:rPr>
              <w:t>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281D91" w:rsidRPr="00281D91" w:rsidRDefault="00281D91" w:rsidP="00281D9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lastRenderedPageBreak/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>Казанское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:rsidTr="00E6717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:rsidTr="00E6717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177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E67177" w:rsidRPr="00BB792B" w:rsidRDefault="00E67177" w:rsidP="007B6C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Формирование комфортной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E67177" w:rsidRPr="00BB792B" w:rsidRDefault="00E67177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E67177" w:rsidRDefault="00E67177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760" w:type="dxa"/>
          </w:tcPr>
          <w:p w:rsidR="00E67177" w:rsidRDefault="00E67177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177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E67177" w:rsidRPr="00BB792B" w:rsidRDefault="00E67177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67177" w:rsidRPr="00BB792B" w:rsidRDefault="00E67177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E67177" w:rsidRDefault="00E67177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760" w:type="dxa"/>
          </w:tcPr>
          <w:p w:rsidR="00E67177" w:rsidRDefault="00E67177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</w:tcPr>
          <w:p w:rsidR="007B6C58" w:rsidRPr="00144066" w:rsidRDefault="008C3BA6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</w:tcPr>
          <w:p w:rsidR="007B6C58" w:rsidRPr="00144066" w:rsidRDefault="007B6C58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внебюджетные </w:t>
            </w:r>
            <w:r w:rsidRPr="00BB792B">
              <w:rPr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760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177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</w:tcPr>
          <w:p w:rsidR="00E67177" w:rsidRPr="008C3BA6" w:rsidRDefault="00E67177" w:rsidP="009C3652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3BA6">
              <w:rPr>
                <w:sz w:val="24"/>
                <w:szCs w:val="24"/>
              </w:rPr>
              <w:lastRenderedPageBreak/>
              <w:t xml:space="preserve">Муниципальная подпрограмма Казанского сельского поселения </w:t>
            </w:r>
            <w:r w:rsidRPr="008C3BA6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2320" w:type="dxa"/>
          </w:tcPr>
          <w:p w:rsidR="00E67177" w:rsidRPr="00BB792B" w:rsidRDefault="00E67177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E67177" w:rsidRDefault="00E67177">
            <w:r w:rsidRPr="00F777EE">
              <w:rPr>
                <w:sz w:val="16"/>
                <w:szCs w:val="16"/>
              </w:rPr>
              <w:t>1521,0</w:t>
            </w:r>
          </w:p>
        </w:tc>
        <w:tc>
          <w:tcPr>
            <w:tcW w:w="760" w:type="dxa"/>
          </w:tcPr>
          <w:p w:rsidR="00E67177" w:rsidRDefault="00E67177">
            <w:r w:rsidRPr="00F777EE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177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E67177" w:rsidRPr="00BB792B" w:rsidRDefault="00E67177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67177" w:rsidRPr="00BB792B" w:rsidRDefault="00E67177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E67177" w:rsidRDefault="00E67177">
            <w:r w:rsidRPr="00F777EE">
              <w:rPr>
                <w:sz w:val="16"/>
                <w:szCs w:val="16"/>
              </w:rPr>
              <w:t>1521,0</w:t>
            </w:r>
          </w:p>
        </w:tc>
        <w:tc>
          <w:tcPr>
            <w:tcW w:w="760" w:type="dxa"/>
          </w:tcPr>
          <w:p w:rsidR="00E67177" w:rsidRDefault="00E67177">
            <w:r w:rsidRPr="00F777EE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3BA6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3BA6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A0452A" w:rsidRPr="00731047" w:rsidRDefault="00A0452A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0452A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1C73"/>
    <w:rsid w:val="0001237B"/>
    <w:rsid w:val="00013BC5"/>
    <w:rsid w:val="0002473C"/>
    <w:rsid w:val="000D3CC7"/>
    <w:rsid w:val="000F5514"/>
    <w:rsid w:val="001109E2"/>
    <w:rsid w:val="00187F33"/>
    <w:rsid w:val="001F61B7"/>
    <w:rsid w:val="00252825"/>
    <w:rsid w:val="00281D91"/>
    <w:rsid w:val="002F6B98"/>
    <w:rsid w:val="003326D7"/>
    <w:rsid w:val="0045160B"/>
    <w:rsid w:val="004D2BFD"/>
    <w:rsid w:val="004F72A2"/>
    <w:rsid w:val="00542173"/>
    <w:rsid w:val="00572F5E"/>
    <w:rsid w:val="005759EF"/>
    <w:rsid w:val="00675590"/>
    <w:rsid w:val="006A39D5"/>
    <w:rsid w:val="006C625F"/>
    <w:rsid w:val="006F4E25"/>
    <w:rsid w:val="00785346"/>
    <w:rsid w:val="007B6C58"/>
    <w:rsid w:val="008750F6"/>
    <w:rsid w:val="008B77DD"/>
    <w:rsid w:val="008C113B"/>
    <w:rsid w:val="008C3BA6"/>
    <w:rsid w:val="008C630D"/>
    <w:rsid w:val="0090286C"/>
    <w:rsid w:val="00903B2A"/>
    <w:rsid w:val="00910E1C"/>
    <w:rsid w:val="00942928"/>
    <w:rsid w:val="00986EFC"/>
    <w:rsid w:val="009B1827"/>
    <w:rsid w:val="009E03D9"/>
    <w:rsid w:val="009E15A6"/>
    <w:rsid w:val="00A0452A"/>
    <w:rsid w:val="00AA2886"/>
    <w:rsid w:val="00AC018C"/>
    <w:rsid w:val="00B72D1B"/>
    <w:rsid w:val="00C548E9"/>
    <w:rsid w:val="00CA4939"/>
    <w:rsid w:val="00CF03E8"/>
    <w:rsid w:val="00D61C73"/>
    <w:rsid w:val="00D96709"/>
    <w:rsid w:val="00DD6F9D"/>
    <w:rsid w:val="00E25802"/>
    <w:rsid w:val="00E329C9"/>
    <w:rsid w:val="00E40E7D"/>
    <w:rsid w:val="00E5305B"/>
    <w:rsid w:val="00E61771"/>
    <w:rsid w:val="00E67177"/>
    <w:rsid w:val="00E85BBD"/>
    <w:rsid w:val="00EE09F6"/>
    <w:rsid w:val="00F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u w:val="single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15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2018-10-09T11:05:00Z</cp:lastPrinted>
  <dcterms:created xsi:type="dcterms:W3CDTF">2018-10-09T05:43:00Z</dcterms:created>
  <dcterms:modified xsi:type="dcterms:W3CDTF">2019-12-05T12:03:00Z</dcterms:modified>
</cp:coreProperties>
</file>