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E0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760428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11 ноября 2016</w:t>
      </w:r>
      <w:r w:rsidR="00B93078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E93606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</w:t>
      </w:r>
      <w:r w:rsidR="00B32D00">
        <w:rPr>
          <w:rFonts w:ascii="Times New Roman" w:hAnsi="Times New Roman" w:cs="Times New Roman"/>
          <w:b/>
          <w:bCs/>
          <w:spacing w:val="2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</w:t>
      </w:r>
      <w:proofErr w:type="gramStart"/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770E1B" w:rsidRDefault="00770E1B" w:rsidP="00A67AF3">
      <w:pPr>
        <w:pStyle w:val="ConsPlusTitle"/>
        <w:rPr>
          <w:b w:val="0"/>
          <w:color w:val="000000"/>
          <w:sz w:val="28"/>
          <w:szCs w:val="28"/>
        </w:rPr>
      </w:pPr>
    </w:p>
    <w:p w:rsidR="00770E1B" w:rsidRDefault="00770E1B" w:rsidP="00770E1B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Внести в решение собрания депутатов Казанского сельского поселения от 29.12.2015г. №</w:t>
      </w:r>
      <w:r w:rsidR="003F794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м2016 год»  следующие изменения:</w:t>
      </w:r>
    </w:p>
    <w:p w:rsidR="00A67AF3" w:rsidRDefault="00A67AF3" w:rsidP="00770E1B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83221B" w:rsidRDefault="00A67AF3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70E1B">
        <w:rPr>
          <w:rFonts w:ascii="Times New Roman" w:hAnsi="Times New Roman" w:cs="Times New Roman"/>
          <w:sz w:val="28"/>
          <w:szCs w:val="28"/>
        </w:rPr>
        <w:t>1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83221B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3221B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8C7C80">
        <w:rPr>
          <w:rFonts w:ascii="Times New Roman" w:hAnsi="Times New Roman"/>
          <w:sz w:val="28"/>
          <w:szCs w:val="28"/>
        </w:rPr>
        <w:t>37415,0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8C7C80">
        <w:rPr>
          <w:rFonts w:ascii="Times New Roman" w:hAnsi="Times New Roman"/>
          <w:sz w:val="28"/>
          <w:szCs w:val="28"/>
        </w:rPr>
        <w:t>38966,8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0,0 тыс. </w:t>
      </w:r>
      <w:r w:rsidRPr="00B6394B">
        <w:rPr>
          <w:rFonts w:ascii="Times New Roman" w:hAnsi="Times New Roman"/>
          <w:sz w:val="28"/>
          <w:szCs w:val="28"/>
        </w:rPr>
        <w:lastRenderedPageBreak/>
        <w:t>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B81032">
        <w:rPr>
          <w:rFonts w:ascii="Times New Roman" w:hAnsi="Times New Roman"/>
          <w:sz w:val="28"/>
          <w:szCs w:val="28"/>
        </w:rPr>
        <w:t>14474,8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221B" w:rsidRPr="000A2632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8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C07">
        <w:rPr>
          <w:rFonts w:ascii="Times New Roman" w:hAnsi="Times New Roman" w:cs="Times New Roman"/>
          <w:sz w:val="28"/>
          <w:szCs w:val="28"/>
        </w:rPr>
        <w:t>.</w:t>
      </w:r>
      <w:r w:rsidRPr="003C2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Статью 4 изложить в новой редакции: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C00D7">
        <w:rPr>
          <w:rFonts w:ascii="Times New Roman" w:hAnsi="Times New Roman" w:cs="Times New Roman"/>
          <w:iCs/>
          <w:sz w:val="28"/>
          <w:szCs w:val="28"/>
        </w:rPr>
        <w:t>18394.1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Default="0083221B" w:rsidP="0083221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1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CA7E78" w:rsidRDefault="0083221B" w:rsidP="0083221B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3221B" w:rsidRPr="005063D6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</w:t>
      </w:r>
      <w:r w:rsidR="00E04E9B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5063D6">
        <w:rPr>
          <w:rFonts w:ascii="Times New Roman" w:hAnsi="Times New Roman" w:cs="Times New Roman"/>
          <w:sz w:val="28"/>
          <w:szCs w:val="28"/>
        </w:rPr>
        <w:t xml:space="preserve">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3221B" w:rsidRPr="006867D4" w:rsidRDefault="0083221B" w:rsidP="008322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 w:rsidR="001528D6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1528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1528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</w:t>
      </w:r>
      <w:r w:rsidR="00EA314A">
        <w:rPr>
          <w:rFonts w:ascii="Times New Roman" w:hAnsi="Times New Roman" w:cs="Times New Roman"/>
          <w:sz w:val="28"/>
          <w:szCs w:val="28"/>
        </w:rPr>
        <w:t>7888,2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3221B" w:rsidRDefault="0083221B" w:rsidP="0083221B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="001528D6" w:rsidRPr="006867D4">
        <w:rPr>
          <w:rFonts w:ascii="Times New Roman" w:hAnsi="Times New Roman" w:cs="Times New Roman"/>
          <w:sz w:val="28"/>
          <w:szCs w:val="28"/>
        </w:rPr>
        <w:t>межбюджетн</w:t>
      </w:r>
      <w:r w:rsidR="00120A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28D6"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20A0A"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из областного бюджета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7D4">
        <w:rPr>
          <w:sz w:val="28"/>
          <w:szCs w:val="28"/>
        </w:rPr>
        <w:t xml:space="preserve"> </w:t>
      </w:r>
      <w:proofErr w:type="gramEnd"/>
    </w:p>
    <w:p w:rsidR="00F506F8" w:rsidRDefault="00FC5D69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6F8" w:rsidRPr="00A32C07">
        <w:rPr>
          <w:rFonts w:ascii="Times New Roman" w:hAnsi="Times New Roman" w:cs="Times New Roman"/>
          <w:sz w:val="28"/>
          <w:szCs w:val="28"/>
        </w:rPr>
        <w:t>.</w:t>
      </w:r>
      <w:r w:rsidR="00F506F8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F506F8">
        <w:rPr>
          <w:rFonts w:ascii="Times New Roman" w:hAnsi="Times New Roman" w:cs="Times New Roman"/>
          <w:sz w:val="28"/>
          <w:szCs w:val="28"/>
        </w:rPr>
        <w:t>Статью 5 изложить в новой редакции: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«Статья 5. </w:t>
      </w:r>
      <w:r>
        <w:rPr>
          <w:rFonts w:ascii="Times New Roman" w:hAnsi="Times New Roman"/>
          <w:b/>
          <w:iCs/>
          <w:sz w:val="28"/>
          <w:szCs w:val="28"/>
        </w:rPr>
        <w:t xml:space="preserve">Межбюджетные трансферты, предоставляемые другим 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бюджетам бюджетной системы Российской Федерации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</w:t>
      </w:r>
      <w:r w:rsidR="001528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08AA">
        <w:rPr>
          <w:rFonts w:ascii="Times New Roman" w:hAnsi="Times New Roman" w:cs="Times New Roman"/>
          <w:sz w:val="28"/>
          <w:szCs w:val="28"/>
        </w:rPr>
        <w:t>1893,5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распределение межбюджетных трансфертов на 2016 согласно приложению 11 к настоящему решению.</w:t>
      </w:r>
    </w:p>
    <w:p w:rsidR="00F506F8" w:rsidRDefault="00F506F8" w:rsidP="00F506F8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 Установить, что иные межбюджетные трансферты, указанные в настоящей части, предоставляются в порядке,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Казанского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F3" w:rsidRDefault="00A67AF3" w:rsidP="0083221B">
      <w:pPr>
        <w:pStyle w:val="ConsPlusTitle"/>
        <w:rPr>
          <w:color w:val="000000"/>
          <w:sz w:val="28"/>
          <w:szCs w:val="28"/>
        </w:rPr>
      </w:pPr>
    </w:p>
    <w:p w:rsidR="00AB2202" w:rsidRPr="00A32C07" w:rsidRDefault="00301982" w:rsidP="00AB2202">
      <w:pPr>
        <w:ind w:right="140"/>
        <w:rPr>
          <w:rFonts w:ascii="Times New Roman" w:hAnsi="Times New Roman" w:cs="Times New Roman"/>
          <w:sz w:val="28"/>
          <w:szCs w:val="28"/>
        </w:rPr>
      </w:pPr>
      <w:r w:rsidRPr="008A750B">
        <w:rPr>
          <w:color w:val="000000"/>
          <w:sz w:val="28"/>
          <w:szCs w:val="28"/>
        </w:rPr>
        <w:t xml:space="preserve">    </w:t>
      </w:r>
      <w:r w:rsidR="00FC5D69">
        <w:rPr>
          <w:color w:val="000000"/>
          <w:sz w:val="28"/>
          <w:szCs w:val="28"/>
        </w:rPr>
        <w:t>4.</w:t>
      </w:r>
      <w:r w:rsidR="00770E1B">
        <w:rPr>
          <w:color w:val="000000"/>
          <w:sz w:val="28"/>
          <w:szCs w:val="28"/>
        </w:rPr>
        <w:t xml:space="preserve"> 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202">
        <w:rPr>
          <w:rFonts w:ascii="Times New Roman" w:hAnsi="Times New Roman" w:cs="Times New Roman"/>
          <w:sz w:val="28"/>
          <w:szCs w:val="28"/>
        </w:rPr>
        <w:t>1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2202" w:rsidRPr="005063D6" w:rsidRDefault="00AB2202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AB2202" w:rsidRPr="00152785" w:rsidTr="007E78B8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6C6833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202" w:rsidRPr="006C6833" w:rsidRDefault="00AB2202" w:rsidP="007E78B8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B2202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202" w:rsidRPr="00152785" w:rsidTr="007E78B8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Default="00AB2202" w:rsidP="007E78B8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2202" w:rsidRPr="00152785" w:rsidTr="007E78B8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2202" w:rsidRPr="00152785" w:rsidTr="007E78B8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6D1E8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14474.8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6536.0</w:t>
            </w:r>
          </w:p>
        </w:tc>
      </w:tr>
      <w:tr w:rsidR="00AB2202" w:rsidRPr="00152785" w:rsidTr="007E78B8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1302.7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2408.0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82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7B39FF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3438.7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7B39FF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1738.7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7B39FF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1738.7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1700.0</w:t>
            </w:r>
          </w:p>
        </w:tc>
      </w:tr>
      <w:tr w:rsidR="00AB2202" w:rsidRPr="00152785" w:rsidTr="007E78B8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0248CA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22940,2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0248CA" w:rsidP="00E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22940,2</w:t>
            </w:r>
          </w:p>
        </w:tc>
      </w:tr>
      <w:tr w:rsidR="00AB2202" w:rsidRPr="00152785" w:rsidTr="007E78B8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746FF7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EE4493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20168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202" w:rsidRPr="00152785" w:rsidTr="007E78B8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02" w:rsidRPr="00152785" w:rsidTr="00D81FDE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19620.7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173115" w:rsidP="00CD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19620.7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4A09D2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37415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71FB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2202" w:rsidRDefault="00AB2202" w:rsidP="00AB220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</w:p>
    <w:p w:rsidR="00301982" w:rsidRPr="00D64C05" w:rsidRDefault="00FC5D69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70E1B">
        <w:rPr>
          <w:color w:val="000000"/>
          <w:sz w:val="28"/>
          <w:szCs w:val="28"/>
        </w:rPr>
        <w:t xml:space="preserve"> 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0E1B">
        <w:rPr>
          <w:rFonts w:ascii="Times New Roman" w:hAnsi="Times New Roman" w:cs="Times New Roman"/>
          <w:sz w:val="28"/>
          <w:szCs w:val="28"/>
        </w:rPr>
        <w:t>2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Казанского</w:t>
      </w:r>
      <w:r w:rsidR="00B564CD"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B564C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C05">
        <w:rPr>
          <w:rFonts w:ascii="Times New Roman" w:hAnsi="Times New Roman" w:cs="Times New Roman"/>
          <w:color w:val="000000"/>
          <w:sz w:val="28"/>
          <w:szCs w:val="28"/>
        </w:rPr>
        <w:t>Верхнедонского</w:t>
      </w:r>
      <w:proofErr w:type="spellEnd"/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 год»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3600"/>
        <w:gridCol w:w="5760"/>
        <w:gridCol w:w="1521"/>
      </w:tblGrid>
      <w:tr w:rsidR="00301982" w:rsidRPr="00D64C05" w:rsidTr="00EA746D">
        <w:trPr>
          <w:trHeight w:val="420"/>
        </w:trPr>
        <w:tc>
          <w:tcPr>
            <w:tcW w:w="10881" w:type="dxa"/>
            <w:gridSpan w:val="3"/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01982" w:rsidRPr="00D64C05" w:rsidTr="00EA746D">
        <w:trPr>
          <w:trHeight w:val="435"/>
        </w:trPr>
        <w:tc>
          <w:tcPr>
            <w:tcW w:w="10881" w:type="dxa"/>
            <w:gridSpan w:val="3"/>
            <w:hideMark/>
          </w:tcPr>
          <w:p w:rsidR="00301982" w:rsidRPr="00D64C05" w:rsidRDefault="00301982" w:rsidP="00386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="003863D8"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2016 год</w:t>
            </w:r>
          </w:p>
        </w:tc>
      </w:tr>
      <w:tr w:rsidR="00301982" w:rsidRPr="00D64C05" w:rsidTr="00C81710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301982" w:rsidRPr="00D64C05" w:rsidRDefault="003019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01982" w:rsidRPr="00D64C05" w:rsidTr="00C81710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1982" w:rsidRPr="00D64C05" w:rsidTr="00C81710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301982" w:rsidRPr="00D64C05" w:rsidRDefault="00DE6AB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E97942" w:rsidRDefault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       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1551.8</w:t>
            </w:r>
            <w:r w:rsidRPr="00E9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1982" w:rsidRPr="00A95014" w:rsidTr="00EA746D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A95014" w:rsidRDefault="00D63456" w:rsidP="00C95BAD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BAD">
              <w:rPr>
                <w:rFonts w:ascii="Times New Roman" w:hAnsi="Times New Roman" w:cs="Times New Roman"/>
                <w:sz w:val="28"/>
                <w:szCs w:val="28"/>
              </w:rPr>
              <w:t>38851,7</w:t>
            </w:r>
          </w:p>
        </w:tc>
      </w:tr>
      <w:tr w:rsidR="00797D8A" w:rsidRPr="008A750B" w:rsidTr="00EA746D">
        <w:trPr>
          <w:trHeight w:val="529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C95BAD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BAD">
              <w:rPr>
                <w:rFonts w:ascii="Times New Roman" w:hAnsi="Times New Roman" w:cs="Times New Roman"/>
                <w:sz w:val="28"/>
                <w:szCs w:val="28"/>
              </w:rPr>
              <w:t>38851,7</w:t>
            </w:r>
          </w:p>
        </w:tc>
      </w:tr>
      <w:tr w:rsidR="00797D8A" w:rsidRPr="008A750B" w:rsidTr="00EA746D">
        <w:trPr>
          <w:trHeight w:val="513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C95BAD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BAD">
              <w:rPr>
                <w:rFonts w:ascii="Times New Roman" w:hAnsi="Times New Roman" w:cs="Times New Roman"/>
                <w:sz w:val="28"/>
                <w:szCs w:val="28"/>
              </w:rPr>
              <w:t>38851,7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A054C2" w:rsidRDefault="00797D8A" w:rsidP="00C95BAD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BAD">
              <w:rPr>
                <w:rFonts w:ascii="Times New Roman" w:hAnsi="Times New Roman" w:cs="Times New Roman"/>
                <w:sz w:val="28"/>
                <w:szCs w:val="28"/>
              </w:rPr>
              <w:t>38851,7</w:t>
            </w:r>
          </w:p>
        </w:tc>
      </w:tr>
      <w:tr w:rsidR="00301982" w:rsidRPr="008A750B" w:rsidTr="00EA746D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797D8A" w:rsidRDefault="00FE3ABA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40403.5</w:t>
            </w:r>
          </w:p>
          <w:p w:rsidR="00301982" w:rsidRPr="00797D8A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A" w:rsidRPr="008A750B" w:rsidTr="00D63456">
        <w:trPr>
          <w:trHeight w:val="107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FE3ABA" w:rsidP="00797D8A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40403.5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FE3ABA" w:rsidP="00797D8A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40403.5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FE3ABA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40403.5</w:t>
            </w:r>
            <w:r w:rsidR="00EA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1982" w:rsidRPr="008A750B" w:rsidRDefault="00301982" w:rsidP="00301982">
      <w:pPr>
        <w:rPr>
          <w:rFonts w:ascii="Times New Roman" w:hAnsi="Times New Roman" w:cs="Times New Roman"/>
          <w:sz w:val="28"/>
          <w:szCs w:val="28"/>
        </w:rPr>
      </w:pPr>
    </w:p>
    <w:p w:rsidR="00072265" w:rsidRPr="00A32C07" w:rsidRDefault="00FC5D69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936" w:type="dxa"/>
        <w:tblInd w:w="87" w:type="dxa"/>
        <w:tblLook w:val="04A0"/>
      </w:tblPr>
      <w:tblGrid>
        <w:gridCol w:w="5400"/>
        <w:gridCol w:w="501"/>
        <w:gridCol w:w="606"/>
        <w:gridCol w:w="2303"/>
        <w:gridCol w:w="709"/>
        <w:gridCol w:w="1417"/>
      </w:tblGrid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78"/>
            <w:bookmarkEnd w:id="1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 w:rsidR="00E63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 w:rsidR="00E63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2E71D5" w:rsidRPr="002E71D5" w:rsidTr="002E71D5">
        <w:trPr>
          <w:trHeight w:val="360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</w:t>
            </w:r>
            <w:r w:rsidR="00E63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2E71D5" w:rsidRPr="002E71D5" w:rsidTr="002E71D5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0B0B1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6366.6</w:t>
            </w:r>
          </w:p>
        </w:tc>
      </w:tr>
      <w:tr w:rsidR="00BF7391" w:rsidRPr="002E71D5" w:rsidTr="00C95BAD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BF7391" w:rsidRPr="002E71D5" w:rsidTr="00C95BAD">
        <w:trPr>
          <w:trHeight w:val="373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BF7391" w:rsidRPr="002E71D5" w:rsidTr="00C95BAD">
        <w:trPr>
          <w:trHeight w:val="15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5310.8</w:t>
            </w:r>
          </w:p>
        </w:tc>
      </w:tr>
      <w:tr w:rsidR="00BF7391" w:rsidRPr="002E71D5" w:rsidTr="00C95BAD">
        <w:trPr>
          <w:trHeight w:val="32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BF7391" w:rsidRPr="002E71D5" w:rsidTr="00C95BAD">
        <w:trPr>
          <w:trHeight w:val="295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4283.5</w:t>
            </w:r>
          </w:p>
        </w:tc>
      </w:tr>
      <w:tr w:rsidR="00BF7391" w:rsidRPr="002E71D5" w:rsidTr="00C95BAD">
        <w:trPr>
          <w:trHeight w:val="255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</w:tr>
      <w:tr w:rsidR="00BF7391" w:rsidRPr="002E71D5" w:rsidTr="00C95BAD">
        <w:trPr>
          <w:trHeight w:val="224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</w:tr>
      <w:tr w:rsidR="00BF7391" w:rsidRPr="002E71D5" w:rsidTr="00C95BAD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</w:tr>
      <w:tr w:rsidR="00BF7391" w:rsidRPr="002E71D5" w:rsidTr="00C95BAD">
        <w:trPr>
          <w:trHeight w:val="191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BF7391" w:rsidRPr="002E71D5" w:rsidTr="00C95BAD">
        <w:trPr>
          <w:trHeight w:val="231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78.5</w:t>
            </w:r>
          </w:p>
        </w:tc>
      </w:tr>
      <w:tr w:rsidR="00BF7391" w:rsidRPr="002E71D5" w:rsidTr="00C95BAD">
        <w:trPr>
          <w:trHeight w:val="331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BF7391" w:rsidRPr="002E71D5" w:rsidTr="00C95BAD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</w:tr>
      <w:tr w:rsidR="00BF7391" w:rsidRPr="002E71D5" w:rsidTr="00C95BAD">
        <w:trPr>
          <w:trHeight w:val="366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BF7391" w:rsidRPr="002E71D5" w:rsidTr="00C95BAD">
        <w:trPr>
          <w:trHeight w:val="39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BF7391" w:rsidRPr="002E71D5" w:rsidTr="00C95BAD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BF7391" w:rsidRPr="002E71D5" w:rsidTr="00C95BAD">
        <w:trPr>
          <w:trHeight w:val="338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F7391" w:rsidRPr="002E71D5" w:rsidTr="00C95BAD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BF7391" w:rsidRPr="002E71D5" w:rsidTr="00C95BAD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BF7391" w:rsidRPr="002E71D5" w:rsidTr="00C95BAD">
        <w:trPr>
          <w:trHeight w:val="376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BF7391" w:rsidRPr="002E71D5" w:rsidTr="00C95BAD">
        <w:trPr>
          <w:trHeight w:val="371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18 673.6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</w:tr>
      <w:tr w:rsidR="00BF7391" w:rsidRPr="002E71D5" w:rsidTr="00C95BAD">
        <w:trPr>
          <w:trHeight w:val="36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A86DC2" w:rsidP="0003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3227,1</w:t>
            </w:r>
          </w:p>
        </w:tc>
      </w:tr>
      <w:tr w:rsidR="00BF7391" w:rsidRPr="002E71D5" w:rsidTr="00C95BAD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BF7391" w:rsidRPr="002E71D5" w:rsidTr="00C95BAD">
        <w:trPr>
          <w:trHeight w:val="40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BF7391" w:rsidRPr="002E71D5" w:rsidTr="00C95BAD">
        <w:trPr>
          <w:trHeight w:val="284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BF7391" w:rsidRPr="002E71D5" w:rsidTr="00C95BAD">
        <w:trPr>
          <w:trHeight w:val="33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A86DC2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</w:tr>
      <w:tr w:rsidR="00BF7391" w:rsidRPr="002E71D5" w:rsidTr="00C95BAD">
        <w:trPr>
          <w:trHeight w:val="258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A86DC2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BF7391" w:rsidRPr="002E71D5" w:rsidTr="00C95BAD">
        <w:trPr>
          <w:trHeight w:val="248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BF7391" w:rsidRPr="002E71D5" w:rsidTr="00C95BAD">
        <w:trPr>
          <w:trHeight w:val="6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E77BFF" w:rsidP="00314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9463.4</w:t>
            </w:r>
          </w:p>
        </w:tc>
      </w:tr>
      <w:tr w:rsidR="00BF7391" w:rsidTr="00C95BAD">
        <w:trPr>
          <w:trHeight w:val="386"/>
        </w:trPr>
        <w:tc>
          <w:tcPr>
            <w:tcW w:w="5400" w:type="dxa"/>
            <w:shd w:val="clear" w:color="auto" w:fill="auto"/>
            <w:hideMark/>
          </w:tcPr>
          <w:p w:rsidR="00BF7391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F7391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BF7391" w:rsidTr="00C95BAD">
        <w:trPr>
          <w:trHeight w:val="559"/>
        </w:trPr>
        <w:tc>
          <w:tcPr>
            <w:tcW w:w="5400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BF7391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3041.9</w:t>
            </w:r>
          </w:p>
        </w:tc>
      </w:tr>
      <w:tr w:rsidR="00BF7391" w:rsidRPr="002E71D5" w:rsidTr="00C95BAD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BF7391" w:rsidRPr="002E71D5" w:rsidTr="00C95BAD">
        <w:trPr>
          <w:trHeight w:val="46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BF7391" w:rsidRPr="002E71D5" w:rsidTr="00C95BAD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BF7391" w:rsidRPr="002E71D5" w:rsidTr="00C95BAD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2770.1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9974B7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6361,5</w:t>
            </w:r>
          </w:p>
        </w:tc>
      </w:tr>
      <w:tr w:rsidR="00BF7391" w:rsidRPr="002E71D5" w:rsidTr="00C95BAD">
        <w:trPr>
          <w:trHeight w:val="387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3591.5</w:t>
            </w:r>
          </w:p>
        </w:tc>
      </w:tr>
      <w:tr w:rsidR="00BF7391" w:rsidRPr="002E71D5" w:rsidTr="00C95BAD">
        <w:trPr>
          <w:trHeight w:val="4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9974B7" w:rsidP="009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547.5</w:t>
            </w:r>
          </w:p>
        </w:tc>
      </w:tr>
      <w:tr w:rsidR="00BF7391" w:rsidRPr="002E71D5" w:rsidTr="00C95BAD">
        <w:trPr>
          <w:trHeight w:val="400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2222.5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BF7391" w:rsidRPr="002E71D5" w:rsidTr="00C95BAD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BF7391" w:rsidRPr="002E71D5" w:rsidTr="00C95BAD">
        <w:trPr>
          <w:trHeight w:val="37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3803.8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3803.8</w:t>
            </w:r>
          </w:p>
        </w:tc>
      </w:tr>
      <w:tr w:rsidR="00BF7391" w:rsidRPr="002E71D5" w:rsidTr="00C95BAD">
        <w:trPr>
          <w:trHeight w:val="264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BF7391" w:rsidRPr="002E71D5" w:rsidTr="00C95BAD">
        <w:trPr>
          <w:trHeight w:val="23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2097.0</w:t>
            </w:r>
          </w:p>
        </w:tc>
      </w:tr>
      <w:tr w:rsidR="00BF7391" w:rsidRPr="002E71D5" w:rsidTr="00C95BAD">
        <w:trPr>
          <w:trHeight w:val="240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BF7391" w:rsidRPr="002E71D5" w:rsidTr="00C95BAD">
        <w:trPr>
          <w:trHeight w:val="26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</w:tr>
      <w:tr w:rsidR="00BF7391" w:rsidRPr="002E71D5" w:rsidTr="00C95BAD">
        <w:trPr>
          <w:trHeight w:val="236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</w:tr>
      <w:tr w:rsidR="00BF7391" w:rsidRPr="002E71D5" w:rsidTr="00C95BAD">
        <w:trPr>
          <w:trHeight w:val="3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BF7391" w:rsidRPr="002E71D5" w:rsidTr="00C95BAD">
        <w:trPr>
          <w:trHeight w:val="28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BF7391" w:rsidRPr="002E71D5" w:rsidTr="00C95BAD">
        <w:trPr>
          <w:trHeight w:val="40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BF7391" w:rsidRPr="002E71D5" w:rsidTr="00C95BAD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BF7391" w:rsidRPr="002E71D5" w:rsidTr="00C95BAD">
        <w:trPr>
          <w:trHeight w:val="22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FC5D6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5221" w:type="dxa"/>
        <w:tblInd w:w="86" w:type="dxa"/>
        <w:tblLayout w:type="fixed"/>
        <w:tblLook w:val="04A0"/>
      </w:tblPr>
      <w:tblGrid>
        <w:gridCol w:w="4700"/>
        <w:gridCol w:w="710"/>
        <w:gridCol w:w="282"/>
        <w:gridCol w:w="709"/>
        <w:gridCol w:w="709"/>
        <w:gridCol w:w="1843"/>
        <w:gridCol w:w="850"/>
        <w:gridCol w:w="1146"/>
        <w:gridCol w:w="110"/>
        <w:gridCol w:w="4162"/>
      </w:tblGrid>
      <w:tr w:rsidR="00894ED9" w:rsidRPr="005E2EA8" w:rsidTr="0043562C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F80"/>
            <w:bookmarkEnd w:id="3"/>
          </w:p>
        </w:tc>
        <w:tc>
          <w:tcPr>
            <w:tcW w:w="55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Before w:val="2"/>
          <w:gridAfter w:val="2"/>
          <w:wBefore w:w="5410" w:type="dxa"/>
          <w:wAfter w:w="4272" w:type="dxa"/>
          <w:trHeight w:val="750"/>
        </w:trPr>
        <w:tc>
          <w:tcPr>
            <w:tcW w:w="55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After w:val="2"/>
          <w:wAfter w:w="4272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6D5C73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6D5C73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4 283.5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156561">
        <w:trPr>
          <w:trHeight w:val="719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18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5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3 227.1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5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5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5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2 770.1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36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3 591.5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5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27616" w:rsidP="005A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5A2D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2 097.0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08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082C9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FC5D69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723" w:type="dxa"/>
        <w:tblInd w:w="87" w:type="dxa"/>
        <w:tblLayout w:type="fixed"/>
        <w:tblLook w:val="04A0"/>
      </w:tblPr>
      <w:tblGrid>
        <w:gridCol w:w="5408"/>
        <w:gridCol w:w="507"/>
        <w:gridCol w:w="1477"/>
        <w:gridCol w:w="709"/>
        <w:gridCol w:w="525"/>
        <w:gridCol w:w="605"/>
        <w:gridCol w:w="1563"/>
        <w:gridCol w:w="283"/>
        <w:gridCol w:w="284"/>
        <w:gridCol w:w="362"/>
      </w:tblGrid>
      <w:tr w:rsidR="002C6F2E" w:rsidRPr="00DD38C7" w:rsidTr="0053735D">
        <w:trPr>
          <w:gridAfter w:val="1"/>
          <w:wAfter w:w="362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F63"/>
            <w:bookmarkStart w:id="6" w:name="RANGE!A1:F79"/>
            <w:bookmarkEnd w:id="5"/>
            <w:bookmarkEnd w:id="6"/>
          </w:p>
        </w:tc>
        <w:tc>
          <w:tcPr>
            <w:tcW w:w="544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53735D">
        <w:trPr>
          <w:gridAfter w:val="1"/>
          <w:wAfter w:w="362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53735D">
        <w:trPr>
          <w:gridBefore w:val="2"/>
          <w:gridAfter w:val="1"/>
          <w:wBefore w:w="5915" w:type="dxa"/>
          <w:wAfter w:w="362" w:type="dxa"/>
          <w:trHeight w:val="750"/>
        </w:trPr>
        <w:tc>
          <w:tcPr>
            <w:tcW w:w="544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53735D">
        <w:trPr>
          <w:gridAfter w:val="1"/>
          <w:wAfter w:w="362" w:type="dxa"/>
          <w:trHeight w:val="375"/>
        </w:trPr>
        <w:tc>
          <w:tcPr>
            <w:tcW w:w="1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53735D" w:rsidRPr="002A7398" w:rsidTr="0053735D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437215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4 331.1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271.8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5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5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C12D4" w:rsidP="002C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3 591.5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C12D4" w:rsidP="002C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3 803.8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3 803.8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2 097.0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17 960.0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3 227.1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5 586.5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5 411.5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4 283.5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5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3 089.6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3 049.6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2 770.1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  <w:r w:rsidR="00F9058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74B5" w:rsidRDefault="00A274B5" w:rsidP="008A37AF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A37AF" w:rsidRDefault="00FC5D69" w:rsidP="008A37AF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D7F">
        <w:rPr>
          <w:rFonts w:ascii="Times New Roman" w:hAnsi="Times New Roman" w:cs="Times New Roman"/>
          <w:sz w:val="28"/>
          <w:szCs w:val="28"/>
        </w:rPr>
        <w:t>11</w:t>
      </w:r>
      <w:r w:rsidR="00E04E9B">
        <w:rPr>
          <w:rFonts w:ascii="Times New Roman" w:hAnsi="Times New Roman" w:cs="Times New Roman"/>
          <w:sz w:val="28"/>
          <w:szCs w:val="28"/>
        </w:rPr>
        <w:t xml:space="preserve"> 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8A37AF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8F185E" w:rsidRPr="00A32C07" w:rsidRDefault="008F185E" w:rsidP="008A37AF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00B57" w:rsidRPr="00800B57" w:rsidRDefault="00800B57" w:rsidP="00800B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00B57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2016 год</w:t>
      </w:r>
    </w:p>
    <w:p w:rsidR="00800B57" w:rsidRDefault="00800B57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AD0" w:rsidRDefault="002B5AD0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F185E" w:rsidRPr="00800B57" w:rsidRDefault="008F185E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1843"/>
        <w:gridCol w:w="1701"/>
        <w:gridCol w:w="1701"/>
        <w:gridCol w:w="1843"/>
        <w:gridCol w:w="1368"/>
      </w:tblGrid>
      <w:tr w:rsidR="00800B57" w:rsidRPr="002251B6" w:rsidTr="001A034E">
        <w:trPr>
          <w:trHeight w:val="1757"/>
        </w:trPr>
        <w:tc>
          <w:tcPr>
            <w:tcW w:w="26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 полномочий в области градостроительства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1944DB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235,4</w:t>
            </w:r>
          </w:p>
        </w:tc>
        <w:tc>
          <w:tcPr>
            <w:tcW w:w="1843" w:type="dxa"/>
          </w:tcPr>
          <w:p w:rsidR="00800B57" w:rsidRPr="002251B6" w:rsidRDefault="001944DB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1002,5</w:t>
            </w:r>
          </w:p>
        </w:tc>
        <w:tc>
          <w:tcPr>
            <w:tcW w:w="1368" w:type="dxa"/>
          </w:tcPr>
          <w:p w:rsidR="00800B57" w:rsidRPr="002251B6" w:rsidRDefault="00EA314A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1893.5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1944DB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235,4</w:t>
            </w:r>
          </w:p>
        </w:tc>
        <w:tc>
          <w:tcPr>
            <w:tcW w:w="1843" w:type="dxa"/>
          </w:tcPr>
          <w:p w:rsidR="00800B57" w:rsidRPr="002251B6" w:rsidRDefault="001944DB" w:rsidP="0011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1002,5</w:t>
            </w:r>
          </w:p>
        </w:tc>
        <w:tc>
          <w:tcPr>
            <w:tcW w:w="1368" w:type="dxa"/>
          </w:tcPr>
          <w:p w:rsidR="00800B57" w:rsidRPr="002251B6" w:rsidRDefault="001944DB" w:rsidP="00F90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1893.5</w:t>
            </w:r>
            <w:r w:rsidR="007F77BB"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  <w:r w:rsidR="00F90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00B57" w:rsidRDefault="00800B57" w:rsidP="00800B57"/>
    <w:p w:rsidR="00350F2F" w:rsidRDefault="00350F2F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F934FB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B6ED0" w:rsidRPr="00F934FB" w:rsidRDefault="00DB6ED0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4540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03" w:rsidRDefault="00972603" w:rsidP="00707DD4">
      <w:pPr>
        <w:spacing w:after="0" w:line="240" w:lineRule="auto"/>
      </w:pPr>
      <w:r>
        <w:separator/>
      </w:r>
    </w:p>
  </w:endnote>
  <w:endnote w:type="continuationSeparator" w:id="0">
    <w:p w:rsidR="00972603" w:rsidRDefault="00972603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03" w:rsidRDefault="00972603" w:rsidP="00707DD4">
      <w:pPr>
        <w:spacing w:after="0" w:line="240" w:lineRule="auto"/>
      </w:pPr>
      <w:r>
        <w:separator/>
      </w:r>
    </w:p>
  </w:footnote>
  <w:footnote w:type="continuationSeparator" w:id="0">
    <w:p w:rsidR="00972603" w:rsidRDefault="00972603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Pr="00381669" w:rsidRDefault="00C95BAD" w:rsidP="003816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0730C"/>
    <w:rsid w:val="00012392"/>
    <w:rsid w:val="00013D76"/>
    <w:rsid w:val="00016D4D"/>
    <w:rsid w:val="000219AD"/>
    <w:rsid w:val="00024490"/>
    <w:rsid w:val="00024690"/>
    <w:rsid w:val="000248CA"/>
    <w:rsid w:val="00024F5A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5ECF"/>
    <w:rsid w:val="00046603"/>
    <w:rsid w:val="00046757"/>
    <w:rsid w:val="00046B18"/>
    <w:rsid w:val="00047274"/>
    <w:rsid w:val="000534B7"/>
    <w:rsid w:val="000536A9"/>
    <w:rsid w:val="00053EF7"/>
    <w:rsid w:val="00056BA2"/>
    <w:rsid w:val="00056F21"/>
    <w:rsid w:val="0006572F"/>
    <w:rsid w:val="00072265"/>
    <w:rsid w:val="00072FB9"/>
    <w:rsid w:val="00074A21"/>
    <w:rsid w:val="00075297"/>
    <w:rsid w:val="000764BF"/>
    <w:rsid w:val="00081A97"/>
    <w:rsid w:val="00082C98"/>
    <w:rsid w:val="00082D96"/>
    <w:rsid w:val="00083558"/>
    <w:rsid w:val="0009002E"/>
    <w:rsid w:val="0009137C"/>
    <w:rsid w:val="0009187D"/>
    <w:rsid w:val="0009684B"/>
    <w:rsid w:val="00097413"/>
    <w:rsid w:val="000A0D24"/>
    <w:rsid w:val="000A16E8"/>
    <w:rsid w:val="000A186E"/>
    <w:rsid w:val="000A2632"/>
    <w:rsid w:val="000A474C"/>
    <w:rsid w:val="000A4D28"/>
    <w:rsid w:val="000A53F6"/>
    <w:rsid w:val="000A6807"/>
    <w:rsid w:val="000B0B11"/>
    <w:rsid w:val="000B0E85"/>
    <w:rsid w:val="000B1C48"/>
    <w:rsid w:val="000B235E"/>
    <w:rsid w:val="000B37FC"/>
    <w:rsid w:val="000B4BE4"/>
    <w:rsid w:val="000C181B"/>
    <w:rsid w:val="000D0B70"/>
    <w:rsid w:val="000D286B"/>
    <w:rsid w:val="000D2951"/>
    <w:rsid w:val="000D33F8"/>
    <w:rsid w:val="000D6217"/>
    <w:rsid w:val="000E6F70"/>
    <w:rsid w:val="000E7E91"/>
    <w:rsid w:val="000E7FC0"/>
    <w:rsid w:val="000F0736"/>
    <w:rsid w:val="000F2242"/>
    <w:rsid w:val="000F2E5C"/>
    <w:rsid w:val="000F492B"/>
    <w:rsid w:val="000F5CE5"/>
    <w:rsid w:val="000F7401"/>
    <w:rsid w:val="00101533"/>
    <w:rsid w:val="00102149"/>
    <w:rsid w:val="00102CCB"/>
    <w:rsid w:val="00106549"/>
    <w:rsid w:val="00107261"/>
    <w:rsid w:val="0010769C"/>
    <w:rsid w:val="0011226A"/>
    <w:rsid w:val="00114071"/>
    <w:rsid w:val="001156EA"/>
    <w:rsid w:val="00116A46"/>
    <w:rsid w:val="0011792F"/>
    <w:rsid w:val="0012012F"/>
    <w:rsid w:val="00120A0A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28D6"/>
    <w:rsid w:val="0015638F"/>
    <w:rsid w:val="00156561"/>
    <w:rsid w:val="0016196C"/>
    <w:rsid w:val="00164F98"/>
    <w:rsid w:val="001662D9"/>
    <w:rsid w:val="001666A5"/>
    <w:rsid w:val="00167238"/>
    <w:rsid w:val="00170C77"/>
    <w:rsid w:val="00173115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44DB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B63F6"/>
    <w:rsid w:val="001C3012"/>
    <w:rsid w:val="001C3C01"/>
    <w:rsid w:val="001C62D9"/>
    <w:rsid w:val="001C7CAE"/>
    <w:rsid w:val="001D7E5C"/>
    <w:rsid w:val="001E0F91"/>
    <w:rsid w:val="001E16EE"/>
    <w:rsid w:val="001E2025"/>
    <w:rsid w:val="001E5491"/>
    <w:rsid w:val="001E641D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3180"/>
    <w:rsid w:val="0021327A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0C51"/>
    <w:rsid w:val="002547CD"/>
    <w:rsid w:val="00254BB3"/>
    <w:rsid w:val="0026126B"/>
    <w:rsid w:val="0026350D"/>
    <w:rsid w:val="002653ED"/>
    <w:rsid w:val="002658A0"/>
    <w:rsid w:val="00265DA5"/>
    <w:rsid w:val="00270823"/>
    <w:rsid w:val="00273F44"/>
    <w:rsid w:val="00275BCF"/>
    <w:rsid w:val="002760A8"/>
    <w:rsid w:val="002772D1"/>
    <w:rsid w:val="0028274C"/>
    <w:rsid w:val="0028296B"/>
    <w:rsid w:val="00283363"/>
    <w:rsid w:val="00283674"/>
    <w:rsid w:val="0028556B"/>
    <w:rsid w:val="0028703C"/>
    <w:rsid w:val="00290B99"/>
    <w:rsid w:val="00293716"/>
    <w:rsid w:val="002971B1"/>
    <w:rsid w:val="002A0089"/>
    <w:rsid w:val="002A2B0B"/>
    <w:rsid w:val="002A2D17"/>
    <w:rsid w:val="002A3AE7"/>
    <w:rsid w:val="002A5E68"/>
    <w:rsid w:val="002A7398"/>
    <w:rsid w:val="002B019C"/>
    <w:rsid w:val="002B087A"/>
    <w:rsid w:val="002B3DC3"/>
    <w:rsid w:val="002B5462"/>
    <w:rsid w:val="002B5AD0"/>
    <w:rsid w:val="002C0F60"/>
    <w:rsid w:val="002C12D4"/>
    <w:rsid w:val="002C6F2E"/>
    <w:rsid w:val="002D0530"/>
    <w:rsid w:val="002D1345"/>
    <w:rsid w:val="002D2470"/>
    <w:rsid w:val="002D3AEE"/>
    <w:rsid w:val="002D6157"/>
    <w:rsid w:val="002D6A67"/>
    <w:rsid w:val="002D70E1"/>
    <w:rsid w:val="002E0348"/>
    <w:rsid w:val="002E0C2E"/>
    <w:rsid w:val="002E0EA1"/>
    <w:rsid w:val="002E1F4B"/>
    <w:rsid w:val="002E50E0"/>
    <w:rsid w:val="002E71D5"/>
    <w:rsid w:val="002E7EBD"/>
    <w:rsid w:val="002F05F6"/>
    <w:rsid w:val="002F1C15"/>
    <w:rsid w:val="002F3E68"/>
    <w:rsid w:val="00300E1E"/>
    <w:rsid w:val="00301982"/>
    <w:rsid w:val="003036BE"/>
    <w:rsid w:val="003045FE"/>
    <w:rsid w:val="00304EE3"/>
    <w:rsid w:val="003050B3"/>
    <w:rsid w:val="00307A16"/>
    <w:rsid w:val="003113A0"/>
    <w:rsid w:val="00313890"/>
    <w:rsid w:val="00314303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1B7F"/>
    <w:rsid w:val="00333296"/>
    <w:rsid w:val="003338BA"/>
    <w:rsid w:val="00334918"/>
    <w:rsid w:val="00335053"/>
    <w:rsid w:val="003352FF"/>
    <w:rsid w:val="0033599E"/>
    <w:rsid w:val="00336065"/>
    <w:rsid w:val="00336D36"/>
    <w:rsid w:val="00342C54"/>
    <w:rsid w:val="00343035"/>
    <w:rsid w:val="003436B9"/>
    <w:rsid w:val="00345946"/>
    <w:rsid w:val="0035021C"/>
    <w:rsid w:val="00350F2F"/>
    <w:rsid w:val="0035754A"/>
    <w:rsid w:val="003577CA"/>
    <w:rsid w:val="003678F1"/>
    <w:rsid w:val="00374C32"/>
    <w:rsid w:val="00380F14"/>
    <w:rsid w:val="00381349"/>
    <w:rsid w:val="00381669"/>
    <w:rsid w:val="00381F15"/>
    <w:rsid w:val="00382BE4"/>
    <w:rsid w:val="003863D8"/>
    <w:rsid w:val="00390375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D0D"/>
    <w:rsid w:val="003A7701"/>
    <w:rsid w:val="003B1B46"/>
    <w:rsid w:val="003B23AC"/>
    <w:rsid w:val="003B2A81"/>
    <w:rsid w:val="003B4C88"/>
    <w:rsid w:val="003B64DD"/>
    <w:rsid w:val="003B686A"/>
    <w:rsid w:val="003B6D65"/>
    <w:rsid w:val="003B6DB2"/>
    <w:rsid w:val="003B704C"/>
    <w:rsid w:val="003C05D8"/>
    <w:rsid w:val="003C08EC"/>
    <w:rsid w:val="003C1190"/>
    <w:rsid w:val="003C1864"/>
    <w:rsid w:val="003C2C78"/>
    <w:rsid w:val="003D27D6"/>
    <w:rsid w:val="003D42BC"/>
    <w:rsid w:val="003D4DE0"/>
    <w:rsid w:val="003D67E9"/>
    <w:rsid w:val="003D6812"/>
    <w:rsid w:val="003E09C4"/>
    <w:rsid w:val="003E3C89"/>
    <w:rsid w:val="003E45F8"/>
    <w:rsid w:val="003F3A0C"/>
    <w:rsid w:val="003F4D4B"/>
    <w:rsid w:val="003F51F6"/>
    <w:rsid w:val="003F57F4"/>
    <w:rsid w:val="003F7943"/>
    <w:rsid w:val="00400E1E"/>
    <w:rsid w:val="0040198F"/>
    <w:rsid w:val="004026ED"/>
    <w:rsid w:val="00404EC4"/>
    <w:rsid w:val="004057E6"/>
    <w:rsid w:val="0041233A"/>
    <w:rsid w:val="00413CA6"/>
    <w:rsid w:val="00416147"/>
    <w:rsid w:val="0041651E"/>
    <w:rsid w:val="0041731F"/>
    <w:rsid w:val="00417B30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562C"/>
    <w:rsid w:val="00436202"/>
    <w:rsid w:val="00437215"/>
    <w:rsid w:val="00440ECE"/>
    <w:rsid w:val="00441A11"/>
    <w:rsid w:val="0044299C"/>
    <w:rsid w:val="00443295"/>
    <w:rsid w:val="004479EE"/>
    <w:rsid w:val="00451E0D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81D14"/>
    <w:rsid w:val="00483BF8"/>
    <w:rsid w:val="00485DC3"/>
    <w:rsid w:val="0049259A"/>
    <w:rsid w:val="00492ED2"/>
    <w:rsid w:val="00493F3E"/>
    <w:rsid w:val="004954EF"/>
    <w:rsid w:val="0049580C"/>
    <w:rsid w:val="004965CA"/>
    <w:rsid w:val="00497347"/>
    <w:rsid w:val="00497586"/>
    <w:rsid w:val="00497E70"/>
    <w:rsid w:val="004A09D2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381"/>
    <w:rsid w:val="004C17CB"/>
    <w:rsid w:val="004C7A96"/>
    <w:rsid w:val="004D15F5"/>
    <w:rsid w:val="004D58B0"/>
    <w:rsid w:val="004D5F2E"/>
    <w:rsid w:val="004E32EA"/>
    <w:rsid w:val="004E49FB"/>
    <w:rsid w:val="004E7F7B"/>
    <w:rsid w:val="004F1789"/>
    <w:rsid w:val="004F23DD"/>
    <w:rsid w:val="004F304F"/>
    <w:rsid w:val="004F5161"/>
    <w:rsid w:val="004F5546"/>
    <w:rsid w:val="004F5F2B"/>
    <w:rsid w:val="004F7139"/>
    <w:rsid w:val="00501048"/>
    <w:rsid w:val="00506598"/>
    <w:rsid w:val="00507627"/>
    <w:rsid w:val="00513461"/>
    <w:rsid w:val="005143FE"/>
    <w:rsid w:val="00514F1A"/>
    <w:rsid w:val="00514F63"/>
    <w:rsid w:val="005222BB"/>
    <w:rsid w:val="00523B7F"/>
    <w:rsid w:val="00526057"/>
    <w:rsid w:val="00527012"/>
    <w:rsid w:val="0053204E"/>
    <w:rsid w:val="00534573"/>
    <w:rsid w:val="0053605B"/>
    <w:rsid w:val="0053735D"/>
    <w:rsid w:val="005378FF"/>
    <w:rsid w:val="0054384F"/>
    <w:rsid w:val="00543CD7"/>
    <w:rsid w:val="00547402"/>
    <w:rsid w:val="00547486"/>
    <w:rsid w:val="005474BD"/>
    <w:rsid w:val="00547CA4"/>
    <w:rsid w:val="005522E2"/>
    <w:rsid w:val="005539C8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5A9F"/>
    <w:rsid w:val="00586A07"/>
    <w:rsid w:val="00591ADE"/>
    <w:rsid w:val="005926A8"/>
    <w:rsid w:val="005939A5"/>
    <w:rsid w:val="00594059"/>
    <w:rsid w:val="005960D9"/>
    <w:rsid w:val="005A0E33"/>
    <w:rsid w:val="005A1CEF"/>
    <w:rsid w:val="005A2DB6"/>
    <w:rsid w:val="005A3042"/>
    <w:rsid w:val="005A3C4B"/>
    <w:rsid w:val="005A4F2D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7D56"/>
    <w:rsid w:val="00602A18"/>
    <w:rsid w:val="0060483E"/>
    <w:rsid w:val="00604964"/>
    <w:rsid w:val="00606498"/>
    <w:rsid w:val="00606A05"/>
    <w:rsid w:val="00614A16"/>
    <w:rsid w:val="006159E3"/>
    <w:rsid w:val="006160F7"/>
    <w:rsid w:val="00616BDE"/>
    <w:rsid w:val="00616EB6"/>
    <w:rsid w:val="00617399"/>
    <w:rsid w:val="006255DD"/>
    <w:rsid w:val="006259F7"/>
    <w:rsid w:val="00625D89"/>
    <w:rsid w:val="00626A7C"/>
    <w:rsid w:val="00632B4C"/>
    <w:rsid w:val="00634021"/>
    <w:rsid w:val="00634DBE"/>
    <w:rsid w:val="00635587"/>
    <w:rsid w:val="0064037A"/>
    <w:rsid w:val="006413D5"/>
    <w:rsid w:val="00641D5E"/>
    <w:rsid w:val="006425ED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2845"/>
    <w:rsid w:val="00664B8D"/>
    <w:rsid w:val="00665718"/>
    <w:rsid w:val="00666634"/>
    <w:rsid w:val="00672B99"/>
    <w:rsid w:val="00673D20"/>
    <w:rsid w:val="006741CF"/>
    <w:rsid w:val="00675D5B"/>
    <w:rsid w:val="00676BDC"/>
    <w:rsid w:val="00682414"/>
    <w:rsid w:val="006824FA"/>
    <w:rsid w:val="00684A0B"/>
    <w:rsid w:val="006867D4"/>
    <w:rsid w:val="00691AC6"/>
    <w:rsid w:val="0069259B"/>
    <w:rsid w:val="00692CD9"/>
    <w:rsid w:val="00693D6A"/>
    <w:rsid w:val="00697BEA"/>
    <w:rsid w:val="006A1C3E"/>
    <w:rsid w:val="006A3860"/>
    <w:rsid w:val="006A4405"/>
    <w:rsid w:val="006B248A"/>
    <w:rsid w:val="006B3C62"/>
    <w:rsid w:val="006B422A"/>
    <w:rsid w:val="006B4EE8"/>
    <w:rsid w:val="006B7699"/>
    <w:rsid w:val="006C195D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D5C73"/>
    <w:rsid w:val="006E03C4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79"/>
    <w:rsid w:val="00707DD4"/>
    <w:rsid w:val="007106D7"/>
    <w:rsid w:val="00713262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3462B"/>
    <w:rsid w:val="00744A37"/>
    <w:rsid w:val="00745BEC"/>
    <w:rsid w:val="007461CC"/>
    <w:rsid w:val="0074742C"/>
    <w:rsid w:val="007508F3"/>
    <w:rsid w:val="00752ED0"/>
    <w:rsid w:val="00753C10"/>
    <w:rsid w:val="00753CE9"/>
    <w:rsid w:val="00756271"/>
    <w:rsid w:val="00756309"/>
    <w:rsid w:val="00760428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83EEF"/>
    <w:rsid w:val="0078637C"/>
    <w:rsid w:val="00787995"/>
    <w:rsid w:val="00790673"/>
    <w:rsid w:val="00792A6E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62DA"/>
    <w:rsid w:val="007A7EC2"/>
    <w:rsid w:val="007B39FF"/>
    <w:rsid w:val="007B4E69"/>
    <w:rsid w:val="007C1082"/>
    <w:rsid w:val="007C1C9D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4DD"/>
    <w:rsid w:val="007E78B8"/>
    <w:rsid w:val="007E7E3D"/>
    <w:rsid w:val="007E7FB7"/>
    <w:rsid w:val="007F11A6"/>
    <w:rsid w:val="007F19D0"/>
    <w:rsid w:val="007F5854"/>
    <w:rsid w:val="007F70E1"/>
    <w:rsid w:val="007F77BB"/>
    <w:rsid w:val="00800061"/>
    <w:rsid w:val="00800B57"/>
    <w:rsid w:val="00804BC5"/>
    <w:rsid w:val="00806291"/>
    <w:rsid w:val="0081136F"/>
    <w:rsid w:val="0081349B"/>
    <w:rsid w:val="00814F68"/>
    <w:rsid w:val="00815030"/>
    <w:rsid w:val="00816253"/>
    <w:rsid w:val="00816F93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411DB"/>
    <w:rsid w:val="008424D3"/>
    <w:rsid w:val="008425ED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7F90"/>
    <w:rsid w:val="00872F91"/>
    <w:rsid w:val="0087431B"/>
    <w:rsid w:val="00875FDD"/>
    <w:rsid w:val="008769FC"/>
    <w:rsid w:val="00876F67"/>
    <w:rsid w:val="008906E1"/>
    <w:rsid w:val="00891858"/>
    <w:rsid w:val="0089337F"/>
    <w:rsid w:val="008935F7"/>
    <w:rsid w:val="00894ED9"/>
    <w:rsid w:val="008A32FD"/>
    <w:rsid w:val="008A36DC"/>
    <w:rsid w:val="008A37AF"/>
    <w:rsid w:val="008A730B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3207"/>
    <w:rsid w:val="008C73BF"/>
    <w:rsid w:val="008C7670"/>
    <w:rsid w:val="008C7C80"/>
    <w:rsid w:val="008D0CE5"/>
    <w:rsid w:val="008D24C4"/>
    <w:rsid w:val="008D4EAC"/>
    <w:rsid w:val="008D5360"/>
    <w:rsid w:val="008D5513"/>
    <w:rsid w:val="008E57C3"/>
    <w:rsid w:val="008E5EFB"/>
    <w:rsid w:val="008F09DE"/>
    <w:rsid w:val="008F0F44"/>
    <w:rsid w:val="008F185E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2EE8"/>
    <w:rsid w:val="009241B6"/>
    <w:rsid w:val="0092442F"/>
    <w:rsid w:val="00926A9A"/>
    <w:rsid w:val="00927616"/>
    <w:rsid w:val="00930126"/>
    <w:rsid w:val="00931D0D"/>
    <w:rsid w:val="00933BF7"/>
    <w:rsid w:val="00936629"/>
    <w:rsid w:val="00936EFD"/>
    <w:rsid w:val="00940CE7"/>
    <w:rsid w:val="0094247A"/>
    <w:rsid w:val="00944FE0"/>
    <w:rsid w:val="009521F2"/>
    <w:rsid w:val="00952A87"/>
    <w:rsid w:val="00954A7F"/>
    <w:rsid w:val="00957D65"/>
    <w:rsid w:val="00960A84"/>
    <w:rsid w:val="0096123C"/>
    <w:rsid w:val="009624F2"/>
    <w:rsid w:val="00967AAD"/>
    <w:rsid w:val="00970D91"/>
    <w:rsid w:val="00972603"/>
    <w:rsid w:val="00975B0F"/>
    <w:rsid w:val="00975BD9"/>
    <w:rsid w:val="00977592"/>
    <w:rsid w:val="00977939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6B3D"/>
    <w:rsid w:val="009972FA"/>
    <w:rsid w:val="0099737C"/>
    <w:rsid w:val="009974B7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C4551"/>
    <w:rsid w:val="009C55EB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3166"/>
    <w:rsid w:val="00A00CD6"/>
    <w:rsid w:val="00A02DE2"/>
    <w:rsid w:val="00A02EED"/>
    <w:rsid w:val="00A04EC3"/>
    <w:rsid w:val="00A054C2"/>
    <w:rsid w:val="00A11F40"/>
    <w:rsid w:val="00A1404B"/>
    <w:rsid w:val="00A145B1"/>
    <w:rsid w:val="00A17D34"/>
    <w:rsid w:val="00A24470"/>
    <w:rsid w:val="00A274B5"/>
    <w:rsid w:val="00A3245C"/>
    <w:rsid w:val="00A32C07"/>
    <w:rsid w:val="00A33375"/>
    <w:rsid w:val="00A378D9"/>
    <w:rsid w:val="00A413F1"/>
    <w:rsid w:val="00A41547"/>
    <w:rsid w:val="00A4450F"/>
    <w:rsid w:val="00A4452A"/>
    <w:rsid w:val="00A44871"/>
    <w:rsid w:val="00A4490F"/>
    <w:rsid w:val="00A44B82"/>
    <w:rsid w:val="00A473FB"/>
    <w:rsid w:val="00A51536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86DC2"/>
    <w:rsid w:val="00A90E03"/>
    <w:rsid w:val="00A95014"/>
    <w:rsid w:val="00A95048"/>
    <w:rsid w:val="00A958C9"/>
    <w:rsid w:val="00A96CEF"/>
    <w:rsid w:val="00AB2202"/>
    <w:rsid w:val="00AB5C55"/>
    <w:rsid w:val="00AC3B69"/>
    <w:rsid w:val="00AC6989"/>
    <w:rsid w:val="00AD0475"/>
    <w:rsid w:val="00AD05E6"/>
    <w:rsid w:val="00AD0BDE"/>
    <w:rsid w:val="00AD4EB1"/>
    <w:rsid w:val="00AD59CA"/>
    <w:rsid w:val="00AE16DC"/>
    <w:rsid w:val="00AE265E"/>
    <w:rsid w:val="00AE2713"/>
    <w:rsid w:val="00AE5020"/>
    <w:rsid w:val="00AE6B93"/>
    <w:rsid w:val="00AE79AA"/>
    <w:rsid w:val="00AF0CDE"/>
    <w:rsid w:val="00AF2A60"/>
    <w:rsid w:val="00AF314C"/>
    <w:rsid w:val="00AF51F8"/>
    <w:rsid w:val="00AF6A53"/>
    <w:rsid w:val="00B00C9F"/>
    <w:rsid w:val="00B039A9"/>
    <w:rsid w:val="00B0488F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2D8C"/>
    <w:rsid w:val="00B24136"/>
    <w:rsid w:val="00B266D9"/>
    <w:rsid w:val="00B30B3E"/>
    <w:rsid w:val="00B30EF3"/>
    <w:rsid w:val="00B32D00"/>
    <w:rsid w:val="00B3685C"/>
    <w:rsid w:val="00B37D30"/>
    <w:rsid w:val="00B40CBB"/>
    <w:rsid w:val="00B4116D"/>
    <w:rsid w:val="00B46039"/>
    <w:rsid w:val="00B46A65"/>
    <w:rsid w:val="00B4703A"/>
    <w:rsid w:val="00B50752"/>
    <w:rsid w:val="00B564CD"/>
    <w:rsid w:val="00B610F2"/>
    <w:rsid w:val="00B639B5"/>
    <w:rsid w:val="00B66719"/>
    <w:rsid w:val="00B70715"/>
    <w:rsid w:val="00B7207E"/>
    <w:rsid w:val="00B76084"/>
    <w:rsid w:val="00B767B5"/>
    <w:rsid w:val="00B77AE6"/>
    <w:rsid w:val="00B81032"/>
    <w:rsid w:val="00B8274E"/>
    <w:rsid w:val="00B8286C"/>
    <w:rsid w:val="00B90CB7"/>
    <w:rsid w:val="00B91171"/>
    <w:rsid w:val="00B92F85"/>
    <w:rsid w:val="00B93078"/>
    <w:rsid w:val="00B95258"/>
    <w:rsid w:val="00BA03FB"/>
    <w:rsid w:val="00BA3603"/>
    <w:rsid w:val="00BA5C33"/>
    <w:rsid w:val="00BA6D02"/>
    <w:rsid w:val="00BA6E29"/>
    <w:rsid w:val="00BB11B1"/>
    <w:rsid w:val="00BC20EC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E1E83"/>
    <w:rsid w:val="00BE2A2A"/>
    <w:rsid w:val="00BE38F9"/>
    <w:rsid w:val="00BF0A7A"/>
    <w:rsid w:val="00BF45CF"/>
    <w:rsid w:val="00BF47C7"/>
    <w:rsid w:val="00BF667C"/>
    <w:rsid w:val="00BF6E8D"/>
    <w:rsid w:val="00BF7391"/>
    <w:rsid w:val="00C01887"/>
    <w:rsid w:val="00C02E14"/>
    <w:rsid w:val="00C04B50"/>
    <w:rsid w:val="00C06DD2"/>
    <w:rsid w:val="00C106D3"/>
    <w:rsid w:val="00C1112B"/>
    <w:rsid w:val="00C12CF2"/>
    <w:rsid w:val="00C14F47"/>
    <w:rsid w:val="00C165AA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219D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1FB1"/>
    <w:rsid w:val="00C736A8"/>
    <w:rsid w:val="00C73887"/>
    <w:rsid w:val="00C807E1"/>
    <w:rsid w:val="00C81710"/>
    <w:rsid w:val="00C82C17"/>
    <w:rsid w:val="00C83D2E"/>
    <w:rsid w:val="00C83F5F"/>
    <w:rsid w:val="00C87046"/>
    <w:rsid w:val="00C9150F"/>
    <w:rsid w:val="00C93080"/>
    <w:rsid w:val="00C9357B"/>
    <w:rsid w:val="00C94B87"/>
    <w:rsid w:val="00C95BAD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22F9"/>
    <w:rsid w:val="00CD2868"/>
    <w:rsid w:val="00CD34E6"/>
    <w:rsid w:val="00CD418D"/>
    <w:rsid w:val="00CD752A"/>
    <w:rsid w:val="00CD7D7E"/>
    <w:rsid w:val="00CE0D9A"/>
    <w:rsid w:val="00CE172E"/>
    <w:rsid w:val="00CE2200"/>
    <w:rsid w:val="00CE5AE1"/>
    <w:rsid w:val="00CE7133"/>
    <w:rsid w:val="00D0212A"/>
    <w:rsid w:val="00D05081"/>
    <w:rsid w:val="00D058B5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316C5"/>
    <w:rsid w:val="00D31AB9"/>
    <w:rsid w:val="00D334F8"/>
    <w:rsid w:val="00D33A1D"/>
    <w:rsid w:val="00D359EA"/>
    <w:rsid w:val="00D403CA"/>
    <w:rsid w:val="00D44622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1209"/>
    <w:rsid w:val="00D63456"/>
    <w:rsid w:val="00D63892"/>
    <w:rsid w:val="00D63E77"/>
    <w:rsid w:val="00D64C05"/>
    <w:rsid w:val="00D71E2D"/>
    <w:rsid w:val="00D74694"/>
    <w:rsid w:val="00D76594"/>
    <w:rsid w:val="00D76D8C"/>
    <w:rsid w:val="00D81FDE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969CE"/>
    <w:rsid w:val="00D97117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4F77"/>
    <w:rsid w:val="00DD54CE"/>
    <w:rsid w:val="00DD5DFF"/>
    <w:rsid w:val="00DD6B38"/>
    <w:rsid w:val="00DE1C60"/>
    <w:rsid w:val="00DE2B1D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0DE4"/>
    <w:rsid w:val="00E018B6"/>
    <w:rsid w:val="00E04E9B"/>
    <w:rsid w:val="00E116DB"/>
    <w:rsid w:val="00E136E9"/>
    <w:rsid w:val="00E14B18"/>
    <w:rsid w:val="00E151AA"/>
    <w:rsid w:val="00E2172D"/>
    <w:rsid w:val="00E231C9"/>
    <w:rsid w:val="00E23F4E"/>
    <w:rsid w:val="00E24272"/>
    <w:rsid w:val="00E2466B"/>
    <w:rsid w:val="00E24AEF"/>
    <w:rsid w:val="00E24CBA"/>
    <w:rsid w:val="00E25D51"/>
    <w:rsid w:val="00E30696"/>
    <w:rsid w:val="00E340FB"/>
    <w:rsid w:val="00E34AE8"/>
    <w:rsid w:val="00E40FC1"/>
    <w:rsid w:val="00E42C0E"/>
    <w:rsid w:val="00E46AE4"/>
    <w:rsid w:val="00E472A5"/>
    <w:rsid w:val="00E4764C"/>
    <w:rsid w:val="00E477C6"/>
    <w:rsid w:val="00E54A5D"/>
    <w:rsid w:val="00E55880"/>
    <w:rsid w:val="00E56560"/>
    <w:rsid w:val="00E61B35"/>
    <w:rsid w:val="00E63873"/>
    <w:rsid w:val="00E65144"/>
    <w:rsid w:val="00E6569D"/>
    <w:rsid w:val="00E67F81"/>
    <w:rsid w:val="00E71758"/>
    <w:rsid w:val="00E7195A"/>
    <w:rsid w:val="00E72594"/>
    <w:rsid w:val="00E7519E"/>
    <w:rsid w:val="00E77624"/>
    <w:rsid w:val="00E77BFF"/>
    <w:rsid w:val="00E809FB"/>
    <w:rsid w:val="00E80B70"/>
    <w:rsid w:val="00E81BAA"/>
    <w:rsid w:val="00E83770"/>
    <w:rsid w:val="00E84205"/>
    <w:rsid w:val="00E8456E"/>
    <w:rsid w:val="00E860CF"/>
    <w:rsid w:val="00E90328"/>
    <w:rsid w:val="00E93606"/>
    <w:rsid w:val="00E93CB6"/>
    <w:rsid w:val="00E97942"/>
    <w:rsid w:val="00EA16FB"/>
    <w:rsid w:val="00EA314A"/>
    <w:rsid w:val="00EA41F3"/>
    <w:rsid w:val="00EA6F12"/>
    <w:rsid w:val="00EA746D"/>
    <w:rsid w:val="00EB11BF"/>
    <w:rsid w:val="00EB1692"/>
    <w:rsid w:val="00EB2422"/>
    <w:rsid w:val="00EB2894"/>
    <w:rsid w:val="00EB2C8A"/>
    <w:rsid w:val="00EB3747"/>
    <w:rsid w:val="00EB392A"/>
    <w:rsid w:val="00EB4852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5B3C"/>
    <w:rsid w:val="00ED5C90"/>
    <w:rsid w:val="00ED6938"/>
    <w:rsid w:val="00EE0E45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07473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3781E"/>
    <w:rsid w:val="00F427B6"/>
    <w:rsid w:val="00F44BF4"/>
    <w:rsid w:val="00F45BDA"/>
    <w:rsid w:val="00F46566"/>
    <w:rsid w:val="00F47A2F"/>
    <w:rsid w:val="00F506F8"/>
    <w:rsid w:val="00F50FB2"/>
    <w:rsid w:val="00F522AD"/>
    <w:rsid w:val="00F52AF9"/>
    <w:rsid w:val="00F56513"/>
    <w:rsid w:val="00F56767"/>
    <w:rsid w:val="00F6086B"/>
    <w:rsid w:val="00F60D1D"/>
    <w:rsid w:val="00F61FDC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A45"/>
    <w:rsid w:val="00F827B2"/>
    <w:rsid w:val="00F9024F"/>
    <w:rsid w:val="00F9058D"/>
    <w:rsid w:val="00F9087B"/>
    <w:rsid w:val="00F90F2F"/>
    <w:rsid w:val="00F91F6E"/>
    <w:rsid w:val="00F934FB"/>
    <w:rsid w:val="00F96583"/>
    <w:rsid w:val="00FA1879"/>
    <w:rsid w:val="00FA1F92"/>
    <w:rsid w:val="00FA521B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E3ABA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F8A31c4m0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4294948984</TotalTime>
  <Pages>50</Pages>
  <Words>10210</Words>
  <Characters>58202</Characters>
  <Application>Microsoft Office Word</Application>
  <DocSecurity>0</DocSecurity>
  <Lines>485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на 2016</vt:lpstr>
      <vt:lpstr>3.  Статью 5 изложить в новой редакции:</vt:lpstr>
      <vt:lpstr>«Статья 5. Межбюджетные трансферты, предоставляемые другим </vt:lpstr>
      <vt:lpstr>бюджетам бюджетной системы Российской Федерации</vt:lpstr>
    </vt:vector>
  </TitlesOfParts>
  <Company/>
  <LinksUpToDate>false</LinksUpToDate>
  <CharactersWithSpaces>68276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1386</cp:revision>
  <cp:lastPrinted>2016-08-24T11:24:00Z</cp:lastPrinted>
  <dcterms:created xsi:type="dcterms:W3CDTF">2014-12-26T10:39:00Z</dcterms:created>
  <dcterms:modified xsi:type="dcterms:W3CDTF">2016-11-24T05:55:00Z</dcterms:modified>
</cp:coreProperties>
</file>